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A" w:rsidRDefault="00810E1A" w:rsidP="00F34453">
      <w:pPr>
        <w:pStyle w:val="Titolo"/>
        <w:pBdr>
          <w:bottom w:val="single" w:sz="8" w:space="4" w:color="4F81BD"/>
        </w:pBdr>
        <w:spacing w:before="0" w:after="300" w:line="240" w:lineRule="auto"/>
        <w:contextualSpacing/>
        <w:outlineLvl w:val="9"/>
        <w:rPr>
          <w:b w:val="0"/>
          <w:bCs w:val="0"/>
          <w:color w:val="4F81BD"/>
          <w:spacing w:val="5"/>
          <w:sz w:val="36"/>
          <w:szCs w:val="36"/>
        </w:rPr>
      </w:pPr>
    </w:p>
    <w:p w:rsidR="00F34453" w:rsidRPr="00D229C5" w:rsidRDefault="00F34453" w:rsidP="00F34453">
      <w:pPr>
        <w:pStyle w:val="Titolo"/>
        <w:pBdr>
          <w:bottom w:val="single" w:sz="8" w:space="4" w:color="4F81BD"/>
        </w:pBdr>
        <w:spacing w:before="0" w:after="300" w:line="240" w:lineRule="auto"/>
        <w:contextualSpacing/>
        <w:outlineLvl w:val="9"/>
        <w:rPr>
          <w:b w:val="0"/>
          <w:bCs w:val="0"/>
          <w:color w:val="4F81BD"/>
          <w:spacing w:val="5"/>
          <w:sz w:val="36"/>
          <w:szCs w:val="36"/>
        </w:rPr>
      </w:pPr>
      <w:r w:rsidRPr="00D229C5">
        <w:rPr>
          <w:b w:val="0"/>
          <w:bCs w:val="0"/>
          <w:color w:val="4F81BD"/>
          <w:spacing w:val="5"/>
          <w:sz w:val="36"/>
          <w:szCs w:val="36"/>
        </w:rPr>
        <w:t>Comunicato Stampa</w:t>
      </w:r>
    </w:p>
    <w:p w:rsidR="00C77798" w:rsidRDefault="000C6BD3" w:rsidP="00F908E7">
      <w:pPr>
        <w:keepNext/>
        <w:keepLines/>
        <w:suppressAutoHyphens w:val="0"/>
        <w:autoSpaceDE w:val="0"/>
        <w:autoSpaceDN w:val="0"/>
        <w:adjustRightInd w:val="0"/>
        <w:jc w:val="center"/>
      </w:pPr>
      <w:r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 xml:space="preserve">Telefono Azzurro e </w:t>
      </w:r>
      <w:proofErr w:type="spellStart"/>
      <w:r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>Giffoni</w:t>
      </w:r>
      <w:proofErr w:type="spellEnd"/>
      <w:r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 xml:space="preserve"> Film </w:t>
      </w:r>
      <w:r w:rsidR="00F908E7" w:rsidRPr="00F908E7"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>Festival:</w:t>
      </w:r>
      <w:r>
        <w:t xml:space="preserve"> </w:t>
      </w:r>
    </w:p>
    <w:p w:rsidR="00F908E7" w:rsidRDefault="00C77798" w:rsidP="00F908E7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</w:pPr>
      <w:proofErr w:type="gramStart"/>
      <w:r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>ragazzi</w:t>
      </w:r>
      <w:proofErr w:type="gramEnd"/>
      <w:r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 xml:space="preserve"> </w:t>
      </w:r>
      <w:r w:rsidR="008031DB"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>protagonisti</w:t>
      </w:r>
      <w:r w:rsidR="00F908E7" w:rsidRPr="00F908E7"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  <w:t xml:space="preserve"> </w:t>
      </w:r>
    </w:p>
    <w:p w:rsidR="00F908E7" w:rsidRPr="00F908E7" w:rsidRDefault="00F908E7" w:rsidP="00F908E7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ascii="Cambria" w:eastAsiaTheme="minorHAnsi" w:hAnsi="Cambria" w:cs="Cambria"/>
          <w:b/>
          <w:bCs/>
          <w:color w:val="4181C0"/>
          <w:sz w:val="36"/>
          <w:szCs w:val="36"/>
          <w:lang w:eastAsia="en-US"/>
        </w:rPr>
      </w:pPr>
    </w:p>
    <w:p w:rsidR="008031DB" w:rsidRDefault="00C77798" w:rsidP="001E1010">
      <w:pPr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</w:pP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La vitalità, l’ingenuità, la fragilità, la trasparenza, </w:t>
      </w:r>
      <w:proofErr w:type="gramStart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l’</w:t>
      </w:r>
      <w:proofErr w:type="gramEnd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entusiasmo: questi gli elementi caratteristici di infanzia e adolescenza che da sempre sono il vero motore del </w:t>
      </w:r>
      <w:proofErr w:type="spellStart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Giffoni</w:t>
      </w:r>
      <w:proofErr w:type="spellEnd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Film Festival e della nascita e attività di Telefono Azzurro. Da qui la forte alleanza </w:t>
      </w:r>
      <w:r w:rsidR="00810E1A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tra il festival e l’Associazione 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che si rinnova ogni anno e che in questa edizione prende 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anche la forma del progetto di Telefono Azzurro 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‘Giovani Protagonisti</w:t>
      </w:r>
      <w:proofErr w:type="gramStart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’.</w:t>
      </w:r>
      <w:proofErr w:type="gramEnd"/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“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Nonostante 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tanti, attori, cantanti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e musicisti 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che sono passate al </w:t>
      </w:r>
      <w:proofErr w:type="spellStart"/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Giffoni</w:t>
      </w:r>
      <w:proofErr w:type="spellEnd"/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in questi giorni 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le vere star per noi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sono le centinaia</w:t>
      </w:r>
      <w:r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di ragazzi presenti 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qui oggi, così come negli altri giorni, che ci danno energia per andare avanti nella nostra missione di aiuto e supporto quotidiano</w:t>
      </w:r>
      <w:r w:rsidR="00810E1A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”</w:t>
      </w:r>
      <w:r w:rsidR="008031DB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 xml:space="preserve"> dice Ernes</w:t>
      </w:r>
      <w:r w:rsidR="00810E1A">
        <w:rPr>
          <w:rFonts w:ascii="Cambria" w:eastAsiaTheme="minorHAnsi" w:hAnsi="Cambria" w:cs="Helv"/>
          <w:i/>
          <w:iCs/>
          <w:color w:val="4181C0"/>
          <w:sz w:val="22"/>
          <w:szCs w:val="22"/>
          <w:lang w:eastAsia="en-US"/>
        </w:rPr>
        <w:t>to Caffo Presidente della Onlus</w:t>
      </w:r>
    </w:p>
    <w:p w:rsidR="001E1010" w:rsidRDefault="001E1010" w:rsidP="001E1010">
      <w:pPr>
        <w:suppressAutoHyphens w:val="0"/>
        <w:autoSpaceDE w:val="0"/>
        <w:autoSpaceDN w:val="0"/>
        <w:adjustRightInd w:val="0"/>
        <w:jc w:val="both"/>
        <w:rPr>
          <w:rFonts w:ascii="Helv" w:eastAsiaTheme="minorHAnsi" w:hAnsi="Helv" w:cs="Helv"/>
          <w:i/>
          <w:iCs/>
          <w:color w:val="4181C0"/>
          <w:lang w:eastAsia="en-US"/>
        </w:rPr>
      </w:pPr>
    </w:p>
    <w:p w:rsidR="00263500" w:rsidRDefault="0018077C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25</w:t>
      </w:r>
      <w:r w:rsidR="00F908E7"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07.</w:t>
      </w:r>
      <w:r w:rsidR="00F908E7"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2013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– </w:t>
      </w:r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“</w:t>
      </w:r>
      <w:r w:rsidR="008031DB" w:rsidRPr="00810E1A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Per noi sono i ragazzi che sono qui oggi, sono le vere star del </w:t>
      </w:r>
      <w:proofErr w:type="spellStart"/>
      <w:r w:rsidR="008031DB" w:rsidRPr="00810E1A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Giffoni</w:t>
      </w:r>
      <w:proofErr w:type="spellEnd"/>
      <w:r w:rsidR="008031DB" w:rsidRPr="00810E1A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Film Festival; il loro sguardo stupito e vitale quello che ci guida ogni giorno”.</w:t>
      </w:r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Queste le parole di Ernesto Caffo a commento dell’alleanza tra Telefono Azzurro e il </w:t>
      </w:r>
      <w:proofErr w:type="spellStart"/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Giffoni</w:t>
      </w:r>
      <w:proofErr w:type="spellEnd"/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Film Festival che ogni anno si rinnova.  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Come ormai consuetudine</w:t>
      </w:r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infatti,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da circa </w:t>
      </w:r>
      <w:proofErr w:type="gramStart"/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proofErr w:type="gramEnd"/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anni</w:t>
      </w:r>
      <w:r w:rsidR="00BF4F6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1E101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SOS Telefono Azzurro Onlus è </w:t>
      </w:r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 fianco del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Giffoni</w:t>
      </w:r>
      <w:proofErr w:type="spellEnd"/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Film Festival per tutta la sua durata, </w:t>
      </w:r>
      <w:r w:rsidR="00803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lavorando dietro le quinte </w:t>
      </w:r>
      <w:r w:rsidR="00C4574D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coinvolgendo ogni giorno centinaia dei </w:t>
      </w:r>
      <w:r w:rsidR="00F908E7" w:rsidRPr="00BF4F6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ragazzi presenti </w:t>
      </w:r>
      <w:r w:rsidR="00C4574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tramite laboratori </w:t>
      </w:r>
      <w:r w:rsidR="00F908E7"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 iniziative a loro dedicate</w:t>
      </w:r>
      <w:r w:rsidR="00C4574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Tra i progetti ‘simbolo’ di questo festival quello di </w:t>
      </w:r>
      <w:r w:rsidR="00C4574D" w:rsidRPr="00BF4F6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“Giovani Protagonisti”</w:t>
      </w:r>
      <w:r w:rsidR="00C4574D" w:rsidRPr="00BF4F6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="00C4574D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il sito di Telefono A</w:t>
      </w:r>
      <w:r w:rsidR="00C4574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zzurro pensato apposta per loro che i ragazzi hanno potuto popolare di contenuti intervenendo anche su </w:t>
      </w:r>
      <w:r w:rsidR="00F908E7"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layout </w:t>
      </w:r>
      <w:r w:rsidR="00C4574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grafico e </w:t>
      </w:r>
      <w:r w:rsidR="00810E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sulla </w:t>
      </w:r>
      <w:r w:rsidR="00C4574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struttura.</w:t>
      </w:r>
    </w:p>
    <w:p w:rsidR="00C4574D" w:rsidRPr="00263500" w:rsidRDefault="00C4574D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F908E7" w:rsidRDefault="00F908E7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"</w:t>
      </w:r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Il progetto è solo uno dei tanti che stiamo affrontando con la loro collaborazione, ma riflette al meglio lo spirito della nostra presenza qui quest’anno” ha </w:t>
      </w:r>
      <w:proofErr w:type="gramStart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sottolineato</w:t>
      </w:r>
      <w:proofErr w:type="gramEnd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810E1A" w:rsidRPr="00810E1A">
        <w:rPr>
          <w:rFonts w:asciiTheme="minorHAnsi" w:eastAsia="Calibri" w:hAnsiTheme="minorHAnsi" w:cs="Helvetica-Bold"/>
          <w:b/>
          <w:bCs/>
          <w:i/>
          <w:sz w:val="22"/>
          <w:szCs w:val="22"/>
          <w:lang w:eastAsia="en-US"/>
        </w:rPr>
        <w:t xml:space="preserve">Ernesto Caffo, Neuropsichiatra infantile, </w:t>
      </w:r>
      <w:proofErr w:type="gramStart"/>
      <w:r w:rsidR="00810E1A" w:rsidRPr="00810E1A">
        <w:rPr>
          <w:rFonts w:asciiTheme="minorHAnsi" w:eastAsia="Calibri" w:hAnsiTheme="minorHAnsi" w:cs="Helvetica-Bold"/>
          <w:b/>
          <w:bCs/>
          <w:i/>
          <w:sz w:val="22"/>
          <w:szCs w:val="22"/>
          <w:lang w:eastAsia="en-US"/>
        </w:rPr>
        <w:t>Professore</w:t>
      </w:r>
      <w:proofErr w:type="gramEnd"/>
      <w:r w:rsidR="00810E1A" w:rsidRPr="00810E1A">
        <w:rPr>
          <w:rFonts w:asciiTheme="minorHAnsi" w:eastAsia="Calibri" w:hAnsiTheme="minorHAnsi" w:cs="Helvetica-Bold"/>
          <w:b/>
          <w:bCs/>
          <w:i/>
          <w:sz w:val="22"/>
          <w:szCs w:val="22"/>
          <w:lang w:eastAsia="en-US"/>
        </w:rPr>
        <w:t xml:space="preserve"> Ordinario dell’Università di Modena e Reggio Emilia e Presidente di SOS Il Telefono Azzurro ONLUS</w:t>
      </w:r>
      <w:r w:rsidR="00810E1A" w:rsidRPr="00810E1A">
        <w:rPr>
          <w:rFonts w:asciiTheme="minorHAnsi" w:eastAsia="Calibri" w:hAnsiTheme="minorHAnsi" w:cs="Helvetica-Bold"/>
          <w:bCs/>
          <w:i/>
          <w:sz w:val="22"/>
          <w:szCs w:val="22"/>
          <w:lang w:eastAsia="en-US"/>
        </w:rPr>
        <w:t>.</w:t>
      </w:r>
      <w:r w:rsidR="00810E1A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“All’interno del </w:t>
      </w:r>
      <w:proofErr w:type="spellStart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Giffoni</w:t>
      </w:r>
      <w:proofErr w:type="spellEnd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Film Festival, in questi anni, abbiamo imparato a convivere con la linfa vitale che solo questi ragazzi sono in grado di dare e che cerchiamo di far confluire in progetti che siano di aiuto per altri bambini e adolescenti che ogni giorno in Italia chiedono il nostro aiuto. </w:t>
      </w:r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Nessuno può insegnarci meglio di loro a comprendere come intercettare </w:t>
      </w:r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questo bisogno</w:t>
      </w:r>
      <w:proofErr w:type="gramStart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End"/>
      <w:r w:rsidR="00C4574D"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e come essere di supporto con </w:t>
      </w:r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linguaggi e canali in costante evoluzione. Anche per Telefono Azzurro i protagonisti quindi devono essere sempre più i Giovani Protagonisti, proprio come il sito </w:t>
      </w:r>
      <w:r w:rsidR="00FD7C3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che ci </w:t>
      </w:r>
      <w:proofErr w:type="gramStart"/>
      <w:r w:rsidR="00FD7C3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aiuteranno</w:t>
      </w:r>
      <w:proofErr w:type="gramEnd"/>
      <w:r w:rsidR="00FD7C35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a costruire; </w:t>
      </w:r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il </w:t>
      </w:r>
      <w:proofErr w:type="spellStart"/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Giffoni</w:t>
      </w:r>
      <w:proofErr w:type="spellEnd"/>
      <w:r w:rsidRPr="00810E1A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 Film Festival è un'occasione immancabile e preziosa per incontrarli e farli partecipare al nostro percorso di soccorso e supporto".</w:t>
      </w:r>
    </w:p>
    <w:p w:rsidR="00810E1A" w:rsidRDefault="00810E1A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810E1A" w:rsidRPr="00810E1A" w:rsidRDefault="00810E1A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C4574D" w:rsidRPr="00810E1A" w:rsidRDefault="00810E1A" w:rsidP="00C4574D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Un sodalizio, quello con il festival</w:t>
      </w:r>
      <w:r w:rsidR="00FD7C3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quindi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che permette a Telefono Azzurro di vivere e lavorare </w:t>
      </w:r>
      <w:proofErr w:type="gramStart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fianco a fianco</w:t>
      </w:r>
      <w:proofErr w:type="gramEnd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con centinaia di ragazzi, con la consapevol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ezza che il loro coinvolgimento, in 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una comunicazione </w:t>
      </w:r>
      <w:proofErr w:type="spellStart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peer</w:t>
      </w:r>
      <w:proofErr w:type="spellEnd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to</w:t>
      </w:r>
      <w:proofErr w:type="spellEnd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peer</w:t>
      </w:r>
      <w:proofErr w:type="spellEnd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relativamente all'</w:t>
      </w:r>
      <w:r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insorgenza dei comportamenti a rischio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in adolescenza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possa essere molto efficace,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 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soprattutto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di grande aiuto.</w:t>
      </w:r>
    </w:p>
    <w:p w:rsidR="00263500" w:rsidRPr="00263500" w:rsidRDefault="00263500" w:rsidP="00263500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C72244" w:rsidRPr="00263500" w:rsidRDefault="00C72244" w:rsidP="00C72244">
      <w:pPr>
        <w:suppressAutoHyphens w:val="0"/>
        <w:autoSpaceDE w:val="0"/>
        <w:autoSpaceDN w:val="0"/>
        <w:adjustRightInd w:val="0"/>
        <w:spacing w:before="60" w:after="6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D</w:t>
      </w:r>
      <w:r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urante i laboratori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95D9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le opinioni dei ragazzi sui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26350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comportamenti a rischio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e le possibili soluzioni sono state raccolte, ascoltate e analizzate grazie a </w:t>
      </w:r>
      <w:r w:rsidR="00810E1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più ‘piccoli’ tavoli di discussioni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Le sessioni di workshop hanno poi permesso di raccogliere preziosi con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sigli sul layout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sui contenuti </w:t>
      </w:r>
      <w:proofErr w:type="gramStart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relativi ai</w:t>
      </w:r>
      <w:proofErr w:type="gramEnd"/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comportamenti a rischio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che diventeranno parte integrante del sito </w:t>
      </w:r>
      <w:r w:rsidRPr="0026350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Giovani Protagonisti http://www.giovaniprotagonisti.azzurro.it/. </w:t>
      </w:r>
    </w:p>
    <w:p w:rsidR="006B0D75" w:rsidRDefault="006B0D75" w:rsidP="000D25B4">
      <w:pPr>
        <w:spacing w:before="80" w:after="8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810E1A" w:rsidRPr="00F908E7" w:rsidRDefault="00810E1A" w:rsidP="000D25B4">
      <w:pPr>
        <w:spacing w:before="80" w:after="8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6B0D75" w:rsidRPr="00F908E7" w:rsidRDefault="006B0D75" w:rsidP="000D25B4">
      <w:pPr>
        <w:spacing w:before="80" w:after="80"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72244" w:rsidRDefault="00C72244" w:rsidP="000D25B4">
      <w:pPr>
        <w:spacing w:before="80" w:after="80" w:line="360" w:lineRule="auto"/>
        <w:jc w:val="both"/>
        <w:rPr>
          <w:rFonts w:asciiTheme="minorHAnsi" w:eastAsia="Calibri" w:hAnsiTheme="minorHAnsi" w:cs="Helvetica-Bold"/>
          <w:bCs/>
          <w:sz w:val="22"/>
          <w:szCs w:val="22"/>
          <w:lang w:eastAsia="en-US"/>
        </w:rPr>
      </w:pPr>
    </w:p>
    <w:p w:rsidR="00F908E7" w:rsidRPr="00C565F0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Cs/>
          <w:i/>
          <w:sz w:val="22"/>
          <w:szCs w:val="20"/>
          <w:u w:val="single"/>
          <w:lang w:eastAsia="en-US"/>
        </w:rPr>
      </w:pPr>
      <w:r w:rsidRPr="00C565F0">
        <w:rPr>
          <w:rFonts w:asciiTheme="minorHAnsi" w:eastAsia="Calibri" w:hAnsiTheme="minorHAnsi" w:cs="Helvetica-Bold"/>
          <w:bCs/>
          <w:i/>
          <w:sz w:val="22"/>
          <w:szCs w:val="20"/>
          <w:u w:val="single"/>
          <w:lang w:eastAsia="en-US"/>
        </w:rPr>
        <w:t>SOS TELEFONO AZZURRO Onlus</w:t>
      </w:r>
    </w:p>
    <w:p w:rsidR="00F908E7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</w:pPr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 xml:space="preserve">Telefono Azzurro nasce nel giugno del 1987 ed ha come missione l’ascolto e la tutela dei bambini e degli adolescenti per costruire una società civile che ne rispetti i diritti, come sancito dalla Convenzione sui </w:t>
      </w:r>
      <w:proofErr w:type="gramStart"/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>diritti</w:t>
      </w:r>
      <w:proofErr w:type="gramEnd"/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 xml:space="preserve"> dell’infanzia adottata dall’Assemblea Generale delle Nazioni Unite nel 1989. Per raggiungere il proprio obiettivo Telefono Azzurro ha attivato Il Centro Nazionale di Ascolto per far fronte alle chiamate e segnalazioni via chat di abusi, richieste di ascolto e intervento. L'educazione dei bambini e degli adolescenti </w:t>
      </w:r>
      <w:proofErr w:type="gramStart"/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>ad</w:t>
      </w:r>
      <w:proofErr w:type="gramEnd"/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 xml:space="preserve"> un utilizzo sicuro di Internet rientra tra le priorità dell’Associazione. </w:t>
      </w:r>
    </w:p>
    <w:p w:rsidR="00F908E7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</w:pPr>
    </w:p>
    <w:p w:rsidR="00F908E7" w:rsidRPr="00C565F0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</w:pPr>
      <w:r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>Canali Social</w:t>
      </w:r>
    </w:p>
    <w:p w:rsidR="00F908E7" w:rsidRPr="00C565F0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</w:pPr>
      <w:r w:rsidRPr="00C565F0">
        <w:rPr>
          <w:rFonts w:asciiTheme="minorHAnsi" w:eastAsia="Calibri" w:hAnsiTheme="minorHAnsi" w:cs="Helvetica-Bold"/>
          <w:bCs/>
          <w:i/>
          <w:sz w:val="22"/>
          <w:szCs w:val="20"/>
          <w:lang w:eastAsia="en-US"/>
        </w:rPr>
        <w:t>Sito: www.azzurro.it</w:t>
      </w:r>
    </w:p>
    <w:p w:rsidR="00530F73" w:rsidRPr="0018077C" w:rsidRDefault="00530F73" w:rsidP="00530F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 w:rsidRPr="0018077C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Facebook</w:t>
      </w:r>
      <w:proofErr w:type="spellEnd"/>
      <w:r w:rsidRPr="0018077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https://www.facebook.com/pages/SOS-Il-Telefono-Azzurro-Onlus/44991281207 </w:t>
      </w:r>
    </w:p>
    <w:p w:rsidR="00395D90" w:rsidRPr="001B3EF7" w:rsidRDefault="00530F73" w:rsidP="00395D9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B3EF7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 xml:space="preserve">Twitter: </w:t>
      </w:r>
      <w:r w:rsidR="00FE7FC5">
        <w:fldChar w:fldCharType="begin"/>
      </w:r>
      <w:r w:rsidR="00FE7FC5" w:rsidRPr="001105BC">
        <w:rPr>
          <w:lang w:val="en-US"/>
        </w:rPr>
        <w:instrText>HYPERLINK "https://twitter.com/telefonoazzurro"</w:instrText>
      </w:r>
      <w:r w:rsidR="00FE7FC5">
        <w:fldChar w:fldCharType="separate"/>
      </w:r>
      <w:r w:rsidRPr="001B3EF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https://twitter.com/telefonoazzurro</w:t>
      </w:r>
      <w:r w:rsidR="00FE7FC5">
        <w:fldChar w:fldCharType="end"/>
      </w:r>
      <w:r w:rsidRPr="001B3EF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:rsidR="00F908E7" w:rsidRPr="00C72244" w:rsidRDefault="00530F73" w:rsidP="00395D9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B3EF7"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/>
        </w:rPr>
        <w:t>YouTube</w:t>
      </w:r>
      <w:r w:rsidRPr="001B3EF7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: </w:t>
      </w:r>
      <w:r w:rsidR="00C72244" w:rsidRPr="00C7224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https://www.youtube.com/user/TelefonoAzzurro1987</w:t>
      </w:r>
    </w:p>
    <w:p w:rsidR="00530F73" w:rsidRPr="001B3EF7" w:rsidRDefault="00530F73" w:rsidP="00530F73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</w:p>
    <w:p w:rsidR="00810E1A" w:rsidRPr="001105BC" w:rsidRDefault="00810E1A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val="en-US" w:eastAsia="en-US"/>
        </w:rPr>
      </w:pPr>
    </w:p>
    <w:p w:rsidR="00810E1A" w:rsidRPr="001105BC" w:rsidRDefault="00810E1A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val="en-US" w:eastAsia="en-US"/>
        </w:rPr>
      </w:pPr>
    </w:p>
    <w:p w:rsidR="00810E1A" w:rsidRPr="001105BC" w:rsidRDefault="00810E1A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val="en-US" w:eastAsia="en-US"/>
        </w:rPr>
      </w:pPr>
    </w:p>
    <w:p w:rsidR="00810E1A" w:rsidRPr="001105BC" w:rsidRDefault="00810E1A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val="en-US" w:eastAsia="en-US"/>
        </w:rPr>
      </w:pPr>
    </w:p>
    <w:p w:rsidR="00810E1A" w:rsidRPr="001105BC" w:rsidRDefault="00810E1A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val="en-US" w:eastAsia="en-US"/>
        </w:rPr>
      </w:pPr>
    </w:p>
    <w:p w:rsidR="00F908E7" w:rsidRPr="00863178" w:rsidRDefault="00F908E7" w:rsidP="00F908E7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Theme="minorHAnsi" w:eastAsia="Calibri" w:hAnsiTheme="minorHAnsi" w:cs="Helvetica-Bold"/>
          <w:b/>
          <w:bCs/>
          <w:sz w:val="22"/>
          <w:szCs w:val="20"/>
          <w:lang w:eastAsia="en-US"/>
        </w:rPr>
      </w:pPr>
      <w:r w:rsidRPr="00863178">
        <w:rPr>
          <w:rFonts w:asciiTheme="minorHAnsi" w:eastAsia="Calibri" w:hAnsiTheme="minorHAnsi" w:cs="Helvetica-Bold"/>
          <w:b/>
          <w:bCs/>
          <w:sz w:val="22"/>
          <w:szCs w:val="20"/>
          <w:lang w:eastAsia="en-US"/>
        </w:rPr>
        <w:t>Contatti per la stampa</w:t>
      </w:r>
    </w:p>
    <w:tbl>
      <w:tblPr>
        <w:tblW w:w="0" w:type="auto"/>
        <w:tblLook w:val="04A0"/>
      </w:tblPr>
      <w:tblGrid>
        <w:gridCol w:w="4936"/>
        <w:gridCol w:w="4918"/>
      </w:tblGrid>
      <w:tr w:rsidR="00F908E7" w:rsidTr="0018077C">
        <w:tc>
          <w:tcPr>
            <w:tcW w:w="4936" w:type="dxa"/>
          </w:tcPr>
          <w:p w:rsidR="00F908E7" w:rsidRPr="0039570B" w:rsidRDefault="00F908E7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9F000F"/>
              </w:rPr>
            </w:pPr>
            <w:r w:rsidRPr="0039570B">
              <w:rPr>
                <w:b/>
                <w:bCs/>
                <w:color w:val="000000"/>
              </w:rPr>
              <w:t>D</w:t>
            </w:r>
            <w:r w:rsidRPr="0039570B">
              <w:rPr>
                <w:b/>
                <w:bCs/>
                <w:color w:val="9F000F"/>
              </w:rPr>
              <w:t>'</w:t>
            </w:r>
            <w:proofErr w:type="spellStart"/>
            <w:r w:rsidRPr="0039570B">
              <w:rPr>
                <w:b/>
                <w:bCs/>
                <w:color w:val="000000"/>
              </w:rPr>
              <w:t>Antona&amp;Partners</w:t>
            </w:r>
            <w:proofErr w:type="spellEnd"/>
          </w:p>
          <w:p w:rsidR="00F908E7" w:rsidRPr="0039570B" w:rsidRDefault="00F908E7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9F000F"/>
              </w:rPr>
            </w:pPr>
            <w:r w:rsidRPr="0039570B">
              <w:rPr>
                <w:color w:val="9F000F"/>
              </w:rPr>
              <w:t xml:space="preserve">STRATEGIE </w:t>
            </w:r>
            <w:proofErr w:type="spellStart"/>
            <w:r w:rsidRPr="0039570B">
              <w:rPr>
                <w:color w:val="9F000F"/>
              </w:rPr>
              <w:t>DI</w:t>
            </w:r>
            <w:proofErr w:type="spellEnd"/>
            <w:r w:rsidRPr="0039570B">
              <w:rPr>
                <w:color w:val="9F000F"/>
              </w:rPr>
              <w:t xml:space="preserve"> COMUNICAZIONE</w:t>
            </w:r>
          </w:p>
        </w:tc>
        <w:tc>
          <w:tcPr>
            <w:tcW w:w="4918" w:type="dxa"/>
          </w:tcPr>
          <w:p w:rsidR="00F908E7" w:rsidRDefault="00F908E7" w:rsidP="0018077C">
            <w:pPr>
              <w:autoSpaceDE w:val="0"/>
              <w:autoSpaceDN w:val="0"/>
              <w:adjustRightInd w:val="0"/>
              <w:spacing w:before="20" w:after="20"/>
              <w:jc w:val="both"/>
            </w:pPr>
          </w:p>
        </w:tc>
      </w:tr>
      <w:tr w:rsidR="00F908E7" w:rsidRPr="00395D90" w:rsidTr="0018077C">
        <w:tc>
          <w:tcPr>
            <w:tcW w:w="4936" w:type="dxa"/>
          </w:tcPr>
          <w:p w:rsidR="00F908E7" w:rsidRPr="00395D90" w:rsidRDefault="00F908E7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/>
              </w:rPr>
            </w:pPr>
            <w:r w:rsidRPr="00395D90">
              <w:rPr>
                <w:rFonts w:asciiTheme="minorHAnsi" w:hAnsiTheme="minorHAnsi"/>
              </w:rPr>
              <w:t xml:space="preserve">Pietro </w:t>
            </w:r>
            <w:proofErr w:type="spellStart"/>
            <w:r w:rsidRPr="00395D90">
              <w:rPr>
                <w:rFonts w:asciiTheme="minorHAnsi" w:hAnsiTheme="minorHAnsi"/>
              </w:rPr>
              <w:t>Pierangeli</w:t>
            </w:r>
            <w:proofErr w:type="spellEnd"/>
          </w:p>
          <w:p w:rsidR="00F908E7" w:rsidRPr="00395D90" w:rsidRDefault="00F908E7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/>
              </w:rPr>
            </w:pPr>
            <w:r w:rsidRPr="00395D90">
              <w:rPr>
                <w:rFonts w:asciiTheme="minorHAnsi" w:hAnsiTheme="minorHAnsi"/>
              </w:rPr>
              <w:t>02 85457023</w:t>
            </w:r>
          </w:p>
          <w:p w:rsidR="00F908E7" w:rsidRPr="00395D90" w:rsidRDefault="00FE7FC5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/>
              </w:rPr>
            </w:pPr>
            <w:hyperlink r:id="rId7" w:history="1">
              <w:r w:rsidR="00F908E7" w:rsidRPr="00395D90">
                <w:rPr>
                  <w:rFonts w:asciiTheme="minorHAnsi" w:hAnsiTheme="minorHAnsi"/>
                </w:rPr>
                <w:t>p.pierangeli@dandp.it</w:t>
              </w:r>
            </w:hyperlink>
          </w:p>
        </w:tc>
        <w:tc>
          <w:tcPr>
            <w:tcW w:w="4918" w:type="dxa"/>
          </w:tcPr>
          <w:p w:rsidR="00395D90" w:rsidRPr="00395D90" w:rsidRDefault="00395D90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/>
              </w:rPr>
            </w:pPr>
            <w:r w:rsidRPr="00395D90">
              <w:rPr>
                <w:rFonts w:asciiTheme="minorHAnsi" w:hAnsiTheme="minorHAnsi"/>
              </w:rPr>
              <w:t xml:space="preserve">Roberta De </w:t>
            </w:r>
            <w:proofErr w:type="spellStart"/>
            <w:r w:rsidRPr="00395D90">
              <w:rPr>
                <w:rFonts w:asciiTheme="minorHAnsi" w:hAnsiTheme="minorHAnsi"/>
              </w:rPr>
              <w:t>Sio</w:t>
            </w:r>
            <w:proofErr w:type="spellEnd"/>
            <w:r w:rsidRPr="00395D90">
              <w:rPr>
                <w:rFonts w:asciiTheme="minorHAnsi" w:hAnsiTheme="minorHAnsi"/>
              </w:rPr>
              <w:t xml:space="preserve"> Cesari</w:t>
            </w:r>
          </w:p>
          <w:p w:rsidR="00395D90" w:rsidRPr="00395D90" w:rsidRDefault="00395D90" w:rsidP="00395D9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Tms Rmn"/>
                <w:bCs/>
                <w:color w:val="000000"/>
                <w:lang w:eastAsia="en-US"/>
              </w:rPr>
            </w:pPr>
            <w:r w:rsidRPr="00395D90">
              <w:rPr>
                <w:rFonts w:asciiTheme="minorHAnsi" w:eastAsiaTheme="minorHAnsi" w:hAnsiTheme="minorHAnsi" w:cs="Tms Rmn"/>
                <w:bCs/>
                <w:color w:val="000000"/>
                <w:lang w:eastAsia="en-US"/>
              </w:rPr>
              <w:t xml:space="preserve">348 7908074 </w:t>
            </w:r>
          </w:p>
          <w:p w:rsidR="00F908E7" w:rsidRPr="00395D90" w:rsidRDefault="00395D90" w:rsidP="0018077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inorHAnsi" w:hAnsiTheme="minorHAnsi"/>
              </w:rPr>
            </w:pPr>
            <w:r w:rsidRPr="00395D90">
              <w:rPr>
                <w:rFonts w:asciiTheme="minorHAnsi" w:hAnsiTheme="minorHAnsi"/>
              </w:rPr>
              <w:t>roberta.desiocesari@azzurro.it</w:t>
            </w:r>
          </w:p>
        </w:tc>
      </w:tr>
    </w:tbl>
    <w:p w:rsidR="000D25B4" w:rsidRDefault="000D25B4" w:rsidP="00810E1A">
      <w:pPr>
        <w:spacing w:before="80" w:after="80" w:line="360" w:lineRule="auto"/>
        <w:jc w:val="both"/>
        <w:rPr>
          <w:rFonts w:asciiTheme="minorHAnsi" w:eastAsia="Calibri" w:hAnsiTheme="minorHAnsi" w:cs="Helvetica-Bold"/>
          <w:bCs/>
          <w:sz w:val="22"/>
          <w:szCs w:val="22"/>
          <w:lang w:eastAsia="en-US"/>
        </w:rPr>
      </w:pPr>
    </w:p>
    <w:sectPr w:rsidR="000D25B4" w:rsidSect="00A83A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12" w:rsidRDefault="00DF3112" w:rsidP="00F34453">
      <w:r>
        <w:separator/>
      </w:r>
    </w:p>
  </w:endnote>
  <w:endnote w:type="continuationSeparator" w:id="0">
    <w:p w:rsidR="00DF3112" w:rsidRDefault="00DF3112" w:rsidP="00F3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12" w:rsidRDefault="00DF3112" w:rsidP="00F34453">
      <w:r>
        <w:separator/>
      </w:r>
    </w:p>
  </w:footnote>
  <w:footnote w:type="continuationSeparator" w:id="0">
    <w:p w:rsidR="00DF3112" w:rsidRDefault="00DF3112" w:rsidP="00F3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7C" w:rsidRDefault="0018077C" w:rsidP="008D0227">
    <w:pPr>
      <w:pStyle w:val="Intestazione"/>
      <w:jc w:val="center"/>
    </w:pPr>
    <w:r w:rsidRPr="00F3445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2552065</wp:posOffset>
          </wp:positionH>
          <wp:positionV relativeFrom="margin">
            <wp:posOffset>-741680</wp:posOffset>
          </wp:positionV>
          <wp:extent cx="970280" cy="826135"/>
          <wp:effectExtent l="19050" t="0" r="1270" b="0"/>
          <wp:wrapTopAndBottom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77C" w:rsidRDefault="001807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EFD"/>
    <w:multiLevelType w:val="hybridMultilevel"/>
    <w:tmpl w:val="415E4228"/>
    <w:lvl w:ilvl="0" w:tplc="F6468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5E774539"/>
    <w:multiLevelType w:val="hybridMultilevel"/>
    <w:tmpl w:val="F09AE71A"/>
    <w:lvl w:ilvl="0" w:tplc="1506D8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2E31F3"/>
    <w:rsid w:val="00017FB8"/>
    <w:rsid w:val="000350F6"/>
    <w:rsid w:val="000506A1"/>
    <w:rsid w:val="00072AFC"/>
    <w:rsid w:val="000A7BE6"/>
    <w:rsid w:val="000C6BD3"/>
    <w:rsid w:val="000D25B4"/>
    <w:rsid w:val="000D4A9E"/>
    <w:rsid w:val="001105BC"/>
    <w:rsid w:val="001306D5"/>
    <w:rsid w:val="0018077C"/>
    <w:rsid w:val="001B3EF7"/>
    <w:rsid w:val="001E1010"/>
    <w:rsid w:val="00260DBE"/>
    <w:rsid w:val="00263500"/>
    <w:rsid w:val="002E31F3"/>
    <w:rsid w:val="00326808"/>
    <w:rsid w:val="00331194"/>
    <w:rsid w:val="00362930"/>
    <w:rsid w:val="00395D90"/>
    <w:rsid w:val="0039711B"/>
    <w:rsid w:val="003A25C6"/>
    <w:rsid w:val="003E3189"/>
    <w:rsid w:val="004558D3"/>
    <w:rsid w:val="00470CF6"/>
    <w:rsid w:val="004A42E8"/>
    <w:rsid w:val="004C1EDA"/>
    <w:rsid w:val="00524DE1"/>
    <w:rsid w:val="00530F73"/>
    <w:rsid w:val="0055269C"/>
    <w:rsid w:val="00581D2E"/>
    <w:rsid w:val="00602C8E"/>
    <w:rsid w:val="006070F8"/>
    <w:rsid w:val="0064176B"/>
    <w:rsid w:val="0069091F"/>
    <w:rsid w:val="0069285C"/>
    <w:rsid w:val="0069378A"/>
    <w:rsid w:val="006B0D75"/>
    <w:rsid w:val="006B5059"/>
    <w:rsid w:val="006C43D9"/>
    <w:rsid w:val="006E50FB"/>
    <w:rsid w:val="00700B87"/>
    <w:rsid w:val="0071412E"/>
    <w:rsid w:val="0073085E"/>
    <w:rsid w:val="00760537"/>
    <w:rsid w:val="00773194"/>
    <w:rsid w:val="007A2E37"/>
    <w:rsid w:val="008031DB"/>
    <w:rsid w:val="00810E1A"/>
    <w:rsid w:val="00825D7C"/>
    <w:rsid w:val="00831EAC"/>
    <w:rsid w:val="00854F84"/>
    <w:rsid w:val="008724E9"/>
    <w:rsid w:val="008A2AAF"/>
    <w:rsid w:val="008A6BCB"/>
    <w:rsid w:val="008C30BA"/>
    <w:rsid w:val="008D0227"/>
    <w:rsid w:val="008E1EF3"/>
    <w:rsid w:val="00A044DA"/>
    <w:rsid w:val="00A77D4F"/>
    <w:rsid w:val="00A83AE3"/>
    <w:rsid w:val="00A85AF5"/>
    <w:rsid w:val="00AE6D30"/>
    <w:rsid w:val="00AF674C"/>
    <w:rsid w:val="00B36262"/>
    <w:rsid w:val="00B41EF4"/>
    <w:rsid w:val="00B47C71"/>
    <w:rsid w:val="00BD19DC"/>
    <w:rsid w:val="00BF4F6A"/>
    <w:rsid w:val="00C10B67"/>
    <w:rsid w:val="00C4574D"/>
    <w:rsid w:val="00C52E4F"/>
    <w:rsid w:val="00C57E19"/>
    <w:rsid w:val="00C72244"/>
    <w:rsid w:val="00C754AE"/>
    <w:rsid w:val="00C77798"/>
    <w:rsid w:val="00CA7354"/>
    <w:rsid w:val="00CD67F2"/>
    <w:rsid w:val="00D053C7"/>
    <w:rsid w:val="00D32E7A"/>
    <w:rsid w:val="00D46F94"/>
    <w:rsid w:val="00D84E2B"/>
    <w:rsid w:val="00DA1594"/>
    <w:rsid w:val="00DB27BB"/>
    <w:rsid w:val="00DD0EBE"/>
    <w:rsid w:val="00DF3112"/>
    <w:rsid w:val="00E052C8"/>
    <w:rsid w:val="00E149AC"/>
    <w:rsid w:val="00E220A6"/>
    <w:rsid w:val="00E22633"/>
    <w:rsid w:val="00E32B3C"/>
    <w:rsid w:val="00E4591A"/>
    <w:rsid w:val="00EA2077"/>
    <w:rsid w:val="00F30EB9"/>
    <w:rsid w:val="00F34453"/>
    <w:rsid w:val="00F56834"/>
    <w:rsid w:val="00F908E7"/>
    <w:rsid w:val="00FB634E"/>
    <w:rsid w:val="00FD7C35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F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4453"/>
    <w:pPr>
      <w:keepNext/>
      <w:keepLines/>
      <w:suppressAutoHyphens w:val="0"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4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4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4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44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344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4453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344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4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60D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1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F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pierangeli@dan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DANTONA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Pierangeli</dc:creator>
  <cp:lastModifiedBy>SCLERICI</cp:lastModifiedBy>
  <cp:revision>2</cp:revision>
  <cp:lastPrinted>2013-05-15T13:31:00Z</cp:lastPrinted>
  <dcterms:created xsi:type="dcterms:W3CDTF">2013-07-25T08:49:00Z</dcterms:created>
  <dcterms:modified xsi:type="dcterms:W3CDTF">2013-07-25T08:49:00Z</dcterms:modified>
</cp:coreProperties>
</file>